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7956E3" w14:textId="77777777">
      <w:pPr>
        <w:spacing w:line="320" w:lineRule="exact"/>
        <w:jc w:val="center"/>
        <w:rPr>
          <w:b/>
          <w:bCs/>
          <w:noProof/>
          <w:lang w:val="ro-RO"/>
        </w:rPr>
      </w:pPr>
      <w:r>
        <w:rPr>
          <w:b/>
          <w:bCs/>
          <w:noProof/>
          <w:lang w:val="ro-RO"/>
        </w:rPr>
        <w:t>POLITICA PRIVIND UTILIZAREA COOKIE-URILOR</w:t>
      </w:r>
    </w:p>
    <w:p w14:paraId="5E06FBA2" w14:textId="77777777">
      <w:pPr>
        <w:spacing w:line="320" w:lineRule="exact"/>
        <w:jc w:val="center"/>
        <w:rPr>
          <w:b/>
          <w:bCs/>
          <w:noProof/>
          <w:lang w:val="ro-RO"/>
        </w:rPr>
      </w:pPr>
      <w:r>
        <w:rPr>
          <w:b/>
          <w:bCs/>
          <w:noProof/>
          <w:lang w:val="ro-RO"/>
        </w:rPr>
        <w:t>PE PLATFORMA EDUCAȚIONALĂ „NEXO”</w:t>
      </w:r>
    </w:p>
    <w:p w14:paraId="4CF06665" w14:textId="77777777">
      <w:pPr>
        <w:spacing w:after="80" w:line="320" w:lineRule="exact"/>
        <w:jc w:val="center"/>
        <w:rPr>
          <w:noProof/>
          <w:lang w:val="ro-RO"/>
        </w:rPr>
      </w:pPr>
    </w:p>
    <w:p w14:paraId="3D9503CA" w14:textId="77777777">
      <w:pPr>
        <w:spacing w:after="100" w:line="320" w:lineRule="exact"/>
        <w:jc w:val="both"/>
        <w:rPr>
          <w:noProof/>
          <w:lang w:val="ro-RO"/>
        </w:rPr>
      </w:pPr>
      <w:r>
        <w:rPr>
          <w:b/>
          <w:bCs/>
          <w:noProof/>
          <w:lang w:val="ro-RO"/>
        </w:rPr>
        <w:t>CUPRINS:</w:t>
      </w:r>
    </w:p>
    <w:p w14:paraId="18BF20B8" w14:textId="77777777">
      <w:pPr>
        <w:spacing w:after="40" w:line="320" w:lineRule="exact"/>
        <w:rPr>
          <w:noProof/>
          <w:lang w:val="ro-RO"/>
        </w:rPr>
      </w:pPr>
      <w:r>
        <w:rPr>
          <w:b/>
          <w:bCs/>
          <w:noProof/>
          <w:lang w:val="ro-RO"/>
        </w:rPr>
        <w:t>I. SCOPUL POLITICII ȘI OPERATORUL PLATFORMEI;</w:t>
      </w:r>
    </w:p>
    <w:p w14:paraId="7756FF7E" w14:textId="77777777">
      <w:pPr>
        <w:spacing w:after="40" w:line="320" w:lineRule="exact"/>
        <w:rPr>
          <w:noProof/>
          <w:lang w:val="ro-RO"/>
        </w:rPr>
      </w:pPr>
      <w:r>
        <w:rPr>
          <w:b/>
          <w:bCs/>
          <w:noProof/>
          <w:lang w:val="ro-RO"/>
        </w:rPr>
        <w:t>II. CE SUNT COOKIE-URILE ȘI TEHNOLOGIILE SIMILARE;</w:t>
      </w:r>
    </w:p>
    <w:p w14:paraId="5F947E01" w14:textId="77777777">
      <w:pPr>
        <w:spacing w:after="40" w:line="320" w:lineRule="exact"/>
        <w:rPr>
          <w:noProof/>
          <w:lang w:val="ro-RO"/>
        </w:rPr>
      </w:pPr>
      <w:r>
        <w:rPr>
          <w:b/>
          <w:bCs/>
          <w:noProof/>
          <w:lang w:val="ro-RO"/>
        </w:rPr>
        <w:t>III. COOKIE-URILE UTILIZATE PE PLATFORMA „NEXO”:</w:t>
      </w:r>
    </w:p>
    <w:p w14:paraId="5EB2E8AB" w14:textId="77777777">
      <w:pPr>
        <w:spacing w:after="40" w:line="320" w:lineRule="exact"/>
        <w:rPr>
          <w:noProof/>
          <w:lang w:val="ro-RO"/>
        </w:rPr>
      </w:pPr>
      <w:r>
        <w:rPr>
          <w:b/>
          <w:bCs/>
          <w:noProof/>
          <w:lang w:val="ro-RO"/>
        </w:rPr>
        <w:t xml:space="preserve">        III.1. COOKIE-URI STRICT NECESARE UTILIZATE ÎN PREZENT;</w:t>
      </w:r>
    </w:p>
    <w:p w14:paraId="1094CF13" w14:textId="77777777">
      <w:pPr>
        <w:spacing w:after="40" w:line="320" w:lineRule="exact"/>
        <w:rPr>
          <w:noProof/>
          <w:lang w:val="ro-RO"/>
        </w:rPr>
      </w:pPr>
      <w:r>
        <w:rPr>
          <w:b/>
          <w:bCs/>
          <w:noProof/>
          <w:lang w:val="ro-RO"/>
        </w:rPr>
        <w:t xml:space="preserve">        III.2. DURATA COOKIE-URILOR;</w:t>
      </w:r>
    </w:p>
    <w:p w14:paraId="37D8D568" w14:textId="77777777">
      <w:pPr>
        <w:spacing w:after="40" w:line="320" w:lineRule="exact"/>
        <w:rPr>
          <w:noProof/>
          <w:lang w:val="ro-RO"/>
        </w:rPr>
      </w:pPr>
      <w:r>
        <w:rPr>
          <w:b/>
          <w:bCs/>
          <w:noProof/>
          <w:lang w:val="ro-RO"/>
        </w:rPr>
        <w:t xml:space="preserve">        III.3. COOKIE-URI CARE NU SUNT UTILIZATE;</w:t>
      </w:r>
    </w:p>
    <w:p w14:paraId="147FD7E4" w14:textId="77777777">
      <w:pPr>
        <w:spacing w:after="40" w:line="320" w:lineRule="exact"/>
        <w:rPr>
          <w:noProof/>
          <w:lang w:val="ro-RO"/>
        </w:rPr>
      </w:pPr>
      <w:r>
        <w:rPr>
          <w:b/>
          <w:bCs/>
          <w:noProof/>
          <w:lang w:val="ro-RO"/>
        </w:rPr>
        <w:t xml:space="preserve">        III.4. FURNIZORII DE SERVICII ȘI COOKIE-URILE TERȚE;</w:t>
      </w:r>
    </w:p>
    <w:p w14:paraId="078A08E5" w14:textId="77777777">
      <w:pPr>
        <w:spacing w:after="40" w:line="320" w:lineRule="exact"/>
        <w:rPr>
          <w:noProof/>
          <w:lang w:val="ro-RO"/>
        </w:rPr>
      </w:pPr>
      <w:r>
        <w:rPr>
          <w:b/>
          <w:bCs/>
          <w:noProof/>
          <w:lang w:val="ro-RO"/>
        </w:rPr>
        <w:t>IV. TEMEIUL JURIDIC ȘI CONSIMȚĂMÂNTUL;</w:t>
      </w:r>
    </w:p>
    <w:p w14:paraId="5583DC1B" w14:textId="77777777">
      <w:pPr>
        <w:spacing w:after="40" w:line="320" w:lineRule="exact"/>
        <w:rPr>
          <w:noProof/>
          <w:lang w:val="ro-RO"/>
        </w:rPr>
      </w:pPr>
      <w:r>
        <w:rPr>
          <w:b/>
          <w:bCs/>
          <w:noProof/>
          <w:lang w:val="ro-RO"/>
        </w:rPr>
        <w:t>V. GESTIONAREA ȘI ȘTERGEREA COOKIE-URILOR;</w:t>
      </w:r>
    </w:p>
    <w:p w14:paraId="3E9FEA60" w14:textId="77777777">
      <w:pPr>
        <w:spacing w:after="40" w:line="320" w:lineRule="exact"/>
        <w:rPr>
          <w:noProof/>
          <w:lang w:val="ro-RO"/>
        </w:rPr>
      </w:pPr>
      <w:r>
        <w:rPr>
          <w:b/>
          <w:bCs/>
          <w:noProof/>
          <w:lang w:val="ro-RO"/>
        </w:rPr>
        <w:t>VI. EVIDENȚA COOKIE-URILOR UTILIZATE;</w:t>
      </w:r>
    </w:p>
    <w:p w14:paraId="17EF344D" w14:textId="77777777">
      <w:pPr>
        <w:spacing w:after="40" w:line="320" w:lineRule="exact"/>
        <w:rPr>
          <w:noProof/>
          <w:lang w:val="ro-RO"/>
        </w:rPr>
      </w:pPr>
      <w:r>
        <w:rPr>
          <w:b/>
          <w:bCs/>
          <w:noProof/>
          <w:lang w:val="ro-RO"/>
        </w:rPr>
        <w:t>VII. MODIFICAREA POLITICII.</w:t>
      </w:r>
    </w:p>
    <w:p w14:paraId="4EB63621" w14:textId="77777777">
      <w:pPr>
        <w:pStyle w:val="Heading1"/>
        <w:spacing w:line="320" w:lineRule="exact"/>
        <w:rPr>
          <w:noProof/>
          <w:sz w:val="20"/>
          <w:szCs w:val="20"/>
          <w:lang w:val="ro-RO"/>
        </w:rPr>
      </w:pPr>
      <w:r>
        <w:rPr>
          <w:noProof/>
          <w:sz w:val="20"/>
          <w:szCs w:val="20"/>
          <w:lang w:val="ro-RO"/>
        </w:rPr>
        <w:t>I. SCOPUL POLITICII ȘI OPERATORUL PLATFORMEI.</w:t>
      </w:r>
    </w:p>
    <w:p w14:paraId="3F4766C1" w14:textId="2642E12A">
      <w:pPr>
        <w:spacing w:after="140" w:line="320" w:lineRule="exact"/>
        <w:jc w:val="both"/>
        <w:rPr>
          <w:noProof/>
          <w:lang w:val="ro-RO"/>
        </w:rPr>
      </w:pPr>
      <w:r>
        <w:rPr>
          <w:noProof/>
          <w:lang w:val="ro-RO"/>
        </w:rPr>
        <w:t>Prezenta Politică explică modul în care sunt utilizate cookie-urile și tehnologiile similare pe platforma educațională „</w:t>
      </w:r>
      <w:r>
        <w:rPr>
          <w:b/>
          <w:bCs/>
          <w:noProof/>
          <w:lang w:val="ro-RO"/>
        </w:rPr>
        <w:t>NEXO</w:t>
      </w:r>
      <w:r>
        <w:rPr>
          <w:noProof/>
          <w:lang w:val="ro-RO"/>
        </w:rPr>
        <w:t xml:space="preserve">”, disponibilă prin intermediul domeniului </w:t>
      </w:r>
      <w:r>
        <w:rPr>
          <w:i/>
          <w:iCs/>
          <w:noProof/>
          <w:lang w:val="ro-RO"/>
        </w:rPr>
        <w:t>hellonexo.ro</w:t>
      </w:r>
      <w:r>
        <w:rPr>
          <w:noProof/>
          <w:lang w:val="ro-RO"/>
        </w:rPr>
        <w:t xml:space="preserve"> (denumită în continuare „</w:t>
      </w:r>
      <w:r>
        <w:rPr>
          <w:b/>
          <w:bCs/>
          <w:noProof/>
          <w:lang w:val="ro-RO"/>
        </w:rPr>
        <w:t>Platforma</w:t>
      </w:r>
      <w:r>
        <w:rPr>
          <w:noProof/>
          <w:lang w:val="ro-RO"/>
        </w:rPr>
        <w:t xml:space="preserve">”), operată de societatea </w:t>
      </w:r>
      <w:r>
        <w:rPr>
          <w:b/>
          <w:bCs/>
          <w:noProof/>
          <w:lang w:val="ro-RO"/>
        </w:rPr>
        <w:t>NEXT HORIZON EDUCATION S.R.L.</w:t>
      </w:r>
      <w:r>
        <w:rPr>
          <w:noProof/>
          <w:lang w:val="ro-RO"/>
        </w:rPr>
        <w:t xml:space="preserve"> (denumită în continuare „</w:t>
      </w:r>
      <w:r>
        <w:rPr>
          <w:b/>
          <w:bCs/>
          <w:noProof/>
          <w:lang w:val="ro-RO"/>
        </w:rPr>
        <w:t>NEXO</w:t>
      </w:r>
      <w:r>
        <w:rPr>
          <w:noProof/>
          <w:lang w:val="ro-RO"/>
        </w:rPr>
        <w:t xml:space="preserve">”), persoană juridică română, cu sediul social în </w:t>
      </w:r>
      <w:r>
        <w:rPr>
          <w:noProof/>
          <w:lang w:val="ro-RO"/>
        </w:rPr>
        <w:t>Mun. Cluj-Napoca, Aleea Baita, Nr.6, Sc.2, Et.2, Ap.21</w:t>
      </w:r>
      <w:r>
        <w:rPr>
          <w:noProof/>
          <w:lang w:val="ro-RO"/>
        </w:rPr>
        <w:t>, jud. Cluj</w:t>
      </w:r>
      <w:r>
        <w:rPr>
          <w:noProof/>
          <w:lang w:val="ro-RO"/>
        </w:rPr>
        <w:t>, înmatriculată la Oficiul Registrului Comerțului sub nr.</w:t>
      </w:r>
      <w:r>
        <w:t xml:space="preserve"> </w:t>
      </w:r>
      <w:r>
        <w:rPr>
          <w:noProof/>
          <w:lang w:val="ro-RO"/>
        </w:rPr>
        <w:t>J2026052083002</w:t>
      </w:r>
      <w:r>
        <w:rPr>
          <w:noProof/>
          <w:lang w:val="ro-RO"/>
        </w:rPr>
        <w:t xml:space="preserve">, având CUI </w:t>
      </w:r>
      <w:r>
        <w:rPr>
          <w:noProof/>
          <w:lang w:val="ro-RO"/>
        </w:rPr>
        <w:t>55509711</w:t>
      </w:r>
      <w:r>
        <w:rPr>
          <w:noProof/>
          <w:lang w:val="ro-RO"/>
        </w:rPr>
        <w:t xml:space="preserve">. </w:t>
      </w:r>
      <w:r>
        <w:rPr>
          <w:noProof/>
          <w:lang w:val="ro-RO"/>
        </w:rPr>
        <w:t xml:space="preserve">Pentru orice întrebare privind prezenta Politică, persoana interesată poate utiliza adresa de e-mail </w:t>
      </w:r>
      <w:r>
        <w:rPr>
          <w:b/>
          <w:bCs/>
          <w:noProof/>
          <w:lang w:val="ro-RO"/>
        </w:rPr>
        <w:t>contact@hellonexo.ro</w:t>
      </w:r>
      <w:r>
        <w:rPr>
          <w:noProof/>
          <w:lang w:val="ro-RO"/>
        </w:rPr>
        <w:t>.</w:t>
      </w:r>
    </w:p>
    <w:p w14:paraId="313DE0FE" w14:textId="77777777">
      <w:pPr>
        <w:spacing w:after="140" w:line="320" w:lineRule="exact"/>
        <w:jc w:val="both"/>
        <w:rPr>
          <w:noProof/>
          <w:lang w:val="ro-RO"/>
        </w:rPr>
      </w:pPr>
      <w:r>
        <w:rPr>
          <w:noProof/>
          <w:lang w:val="ro-RO"/>
        </w:rPr>
        <w:t xml:space="preserve">Prezenta Politică se interpretează împreună cu </w:t>
      </w:r>
      <w:r>
        <w:rPr>
          <w:i/>
          <w:iCs/>
          <w:noProof/>
          <w:lang w:val="ro-RO"/>
        </w:rPr>
        <w:t>Termenii și Condițiile</w:t>
      </w:r>
      <w:r>
        <w:rPr>
          <w:noProof/>
          <w:lang w:val="ro-RO"/>
        </w:rPr>
        <w:t xml:space="preserve"> și cu </w:t>
      </w:r>
      <w:r>
        <w:rPr>
          <w:i/>
          <w:iCs/>
          <w:noProof/>
          <w:lang w:val="ro-RO"/>
        </w:rPr>
        <w:t>Politica de confidențialitate</w:t>
      </w:r>
      <w:r>
        <w:rPr>
          <w:noProof/>
          <w:lang w:val="ro-RO"/>
        </w:rPr>
        <w:t xml:space="preserve"> ale Platformei „NEXO”.</w:t>
      </w:r>
    </w:p>
    <w:p w14:paraId="2DED32D0" w14:textId="77777777">
      <w:pPr>
        <w:pStyle w:val="Heading1"/>
        <w:spacing w:line="320" w:lineRule="exact"/>
        <w:rPr>
          <w:noProof/>
          <w:sz w:val="20"/>
          <w:szCs w:val="20"/>
          <w:lang w:val="ro-RO"/>
        </w:rPr>
      </w:pPr>
      <w:r>
        <w:rPr>
          <w:noProof/>
          <w:sz w:val="20"/>
          <w:szCs w:val="20"/>
          <w:lang w:val="ro-RO"/>
        </w:rPr>
        <w:t>II. CE SUNT COOKIE-URILE ȘI TEHNOLOGIILE SIMILARE.</w:t>
      </w:r>
    </w:p>
    <w:p w14:paraId="7FC3146C" w14:textId="77777777">
      <w:pPr>
        <w:spacing w:after="140" w:line="320" w:lineRule="exact"/>
        <w:jc w:val="both"/>
        <w:rPr>
          <w:noProof/>
          <w:lang w:val="ro-RO"/>
        </w:rPr>
      </w:pPr>
      <w:r>
        <w:rPr>
          <w:noProof/>
          <w:lang w:val="ro-RO"/>
        </w:rPr>
        <w:t>Un cookie este un fișier sau o informație de mici dimensiuni pe care un site web ori o aplicație web îl stochează în echipamentul terminal al utilizatorului (calculator, telefon sau alt dispozitiv), cu informații despre navigarea și utilizarea Platformei. Cookie-urile sunt utilizate pentru a facilita funcționarea și utilizarea Platformei și nu dăunează dispozitivului utilizatorului.</w:t>
      </w:r>
    </w:p>
    <w:p w14:paraId="79F382A5" w14:textId="77777777">
      <w:pPr>
        <w:spacing w:after="140" w:line="320" w:lineRule="exact"/>
        <w:jc w:val="both"/>
        <w:rPr>
          <w:noProof/>
          <w:lang w:val="ro-RO"/>
        </w:rPr>
      </w:pPr>
      <w:r>
        <w:rPr>
          <w:noProof/>
          <w:lang w:val="ro-RO"/>
        </w:rPr>
        <w:t>Prezenta Politică folosește termenul general de „cookie-uri”, întrucât acestea reprezintă principala metodă de stocare a informațiilor utilizate de Platformă; cu toate acestea, spațiul de „Stocare Locală” (Local Storage) al browserului este, de asemenea, utilizat în scopuri similare. Toate informațiile din prezenta Politică sunt aplicabile în mod corespunzător și acestei stocări locale.</w:t>
      </w:r>
    </w:p>
    <w:p w14:paraId="0DE7E742" w14:textId="77777777">
      <w:pPr>
        <w:pStyle w:val="Heading1"/>
        <w:spacing w:line="320" w:lineRule="exact"/>
        <w:rPr>
          <w:noProof/>
          <w:sz w:val="20"/>
          <w:szCs w:val="20"/>
          <w:lang w:val="ro-RO"/>
        </w:rPr>
      </w:pPr>
      <w:r>
        <w:rPr>
          <w:noProof/>
          <w:sz w:val="20"/>
          <w:szCs w:val="20"/>
          <w:lang w:val="ro-RO"/>
        </w:rPr>
        <w:t>III. COOKIE-URILE UTILIZATE PE PLATFORMA „NEXO”.</w:t>
      </w:r>
    </w:p>
    <w:p w14:paraId="149F976F" w14:textId="77777777">
      <w:pPr>
        <w:pStyle w:val="Heading2"/>
        <w:spacing w:line="320" w:lineRule="exact"/>
        <w:rPr>
          <w:noProof/>
          <w:lang w:val="ro-RO"/>
        </w:rPr>
      </w:pPr>
      <w:r>
        <w:rPr>
          <w:noProof/>
          <w:lang w:val="ro-RO"/>
        </w:rPr>
        <w:t>III.1. Cookie-uri strict necesare utilizate în prezent.</w:t>
      </w:r>
    </w:p>
    <w:p w14:paraId="4981499A" w14:textId="77777777">
      <w:pPr>
        <w:spacing w:after="140" w:line="320" w:lineRule="exact"/>
        <w:jc w:val="both"/>
        <w:rPr>
          <w:noProof/>
          <w:lang w:val="ro-RO"/>
        </w:rPr>
      </w:pPr>
      <w:r>
        <w:rPr>
          <w:noProof/>
          <w:lang w:val="ro-RO"/>
        </w:rPr>
        <w:lastRenderedPageBreak/>
        <w:t xml:space="preserve">În configurația actuală, Platforma „NEXO” utilizează </w:t>
      </w:r>
      <w:r>
        <w:rPr>
          <w:b/>
          <w:bCs/>
          <w:noProof/>
          <w:lang w:val="ro-RO"/>
        </w:rPr>
        <w:t>numai tehnologii strict necesare funcționării sale</w:t>
      </w:r>
      <w:r>
        <w:rPr>
          <w:noProof/>
          <w:lang w:val="ro-RO"/>
        </w:rPr>
        <w:t>, și anume:</w:t>
      </w:r>
    </w:p>
    <w:p w14:paraId="7FF16F56" w14:textId="77777777">
      <w:pPr>
        <w:pStyle w:val="ListParagraph"/>
        <w:numPr>
          <w:ilvl w:val="0"/>
          <w:numId w:val="2"/>
        </w:numPr>
        <w:spacing w:after="90" w:line="320" w:lineRule="exact"/>
        <w:jc w:val="both"/>
        <w:rPr>
          <w:noProof/>
          <w:lang w:val="ro-RO"/>
        </w:rPr>
      </w:pPr>
      <w:r>
        <w:rPr>
          <w:noProof/>
          <w:lang w:val="ro-RO"/>
        </w:rPr>
        <w:t xml:space="preserve">cookie-uri și/sau elemente de stocare necesare </w:t>
      </w:r>
      <w:r>
        <w:rPr>
          <w:b/>
          <w:bCs/>
          <w:noProof/>
          <w:lang w:val="ro-RO"/>
        </w:rPr>
        <w:t>autentificării și menținerii sesiunii</w:t>
      </w:r>
      <w:r>
        <w:rPr>
          <w:noProof/>
          <w:lang w:val="ro-RO"/>
        </w:rPr>
        <w:t>, care permit utilizatorului să se conecteze, să rămână autentificat și să utilizeze funcțiile protejate ale contului. Autentificarea este gestionată prin intermediul Auth.js;</w:t>
      </w:r>
    </w:p>
    <w:p w14:paraId="6C4920A3" w14:textId="77777777">
      <w:pPr>
        <w:pStyle w:val="ListParagraph"/>
        <w:numPr>
          <w:ilvl w:val="0"/>
          <w:numId w:val="2"/>
        </w:numPr>
        <w:spacing w:after="90" w:line="320" w:lineRule="exact"/>
        <w:jc w:val="both"/>
        <w:rPr>
          <w:noProof/>
          <w:lang w:val="ro-RO"/>
        </w:rPr>
      </w:pPr>
      <w:r>
        <w:rPr>
          <w:noProof/>
          <w:lang w:val="ro-RO"/>
        </w:rPr>
        <w:t xml:space="preserve">un element de stocare în browser prin care este reținută </w:t>
      </w:r>
      <w:r>
        <w:rPr>
          <w:b/>
          <w:bCs/>
          <w:noProof/>
          <w:lang w:val="ro-RO"/>
        </w:rPr>
        <w:t>preferința utilizatorului pentru modul luminos sau întunecat</w:t>
      </w:r>
      <w:r>
        <w:rPr>
          <w:noProof/>
          <w:lang w:val="ro-RO"/>
        </w:rPr>
        <w:t xml:space="preserve"> (light/dark), astfel încât interfața să fie afișată conform preferinței la vizitele ulterioare.</w:t>
      </w:r>
    </w:p>
    <w:p w14:paraId="624165C3" w14:textId="2BC7826A">
      <w:pPr>
        <w:pStyle w:val="ListParagraph"/>
        <w:numPr>
          <w:ilvl w:val="0"/>
          <w:numId w:val="2"/>
        </w:numPr>
        <w:spacing w:after="90" w:line="320" w:lineRule="exact"/>
        <w:jc w:val="both"/>
        <w:rPr>
          <w:noProof/>
          <w:lang w:val="ro-RO"/>
        </w:rPr>
      </w:pPr>
      <w:r>
        <w:rPr>
          <w:noProof/>
          <w:lang w:val="ro-RO"/>
        </w:rPr>
        <w:t>elemente de Session Storage, utilizate sub forma cheilor nexo-usage:*, prin care se evită înregistrarea duplicată a vizualizărilor în statisticile interne ale Platformei. Aceste elemente sunt first-party, au un caracter strict funcțional și conțin doar valoarea „1”, fără stocarea unor date cu caracter personal. Acestea sunt valabile per filă de browser și sunt șterse automat la închiderea filei.</w:t>
      </w:r>
    </w:p>
    <w:p w14:paraId="4C760AB8" w14:textId="77777777">
      <w:pPr>
        <w:spacing w:after="140" w:line="320" w:lineRule="exact"/>
        <w:jc w:val="both"/>
        <w:rPr>
          <w:noProof/>
          <w:lang w:val="ro-RO"/>
        </w:rPr>
      </w:pPr>
      <w:r>
        <w:rPr>
          <w:noProof/>
          <w:lang w:val="ro-RO"/>
        </w:rPr>
        <w:t xml:space="preserve">Aceste mecanisme </w:t>
      </w:r>
      <w:r>
        <w:rPr>
          <w:b/>
          <w:bCs/>
          <w:noProof/>
          <w:lang w:val="ro-RO"/>
        </w:rPr>
        <w:t>nu sunt utilizate pentru publicitate comportamentală, profilare sau urmărirea utilizatorilor pe alte site-uri</w:t>
      </w:r>
      <w:r>
        <w:rPr>
          <w:noProof/>
          <w:lang w:val="ro-RO"/>
        </w:rPr>
        <w:t>. Fără cookie-urile strict necesare, anumite funcții esențiale ale Platformei nu pot fi furnizate în mod corespunzător.</w:t>
      </w:r>
    </w:p>
    <w:p w14:paraId="67861846" w14:textId="77777777">
      <w:pPr>
        <w:pStyle w:val="Heading2"/>
        <w:spacing w:line="320" w:lineRule="exact"/>
        <w:rPr>
          <w:noProof/>
          <w:lang w:val="ro-RO"/>
        </w:rPr>
      </w:pPr>
      <w:r>
        <w:rPr>
          <w:noProof/>
          <w:lang w:val="ro-RO"/>
        </w:rPr>
        <w:t>III.2. Durata cookie-urilor.</w:t>
      </w:r>
    </w:p>
    <w:p w14:paraId="1E5E10B2" w14:textId="77777777">
      <w:pPr>
        <w:spacing w:after="140" w:line="320" w:lineRule="exact"/>
        <w:jc w:val="both"/>
        <w:rPr>
          <w:noProof/>
          <w:lang w:val="ro-RO"/>
        </w:rPr>
      </w:pPr>
      <w:r>
        <w:rPr>
          <w:noProof/>
          <w:lang w:val="ro-RO"/>
        </w:rPr>
        <w:t>Durata de viață a cookie-urilor poate varia în funcție de scopul pentru care sunt utilizate. Există, în principal, următoarele categorii:</w:t>
      </w:r>
    </w:p>
    <w:p w14:paraId="19B33949" w14:textId="77777777">
      <w:pPr>
        <w:pStyle w:val="ListParagraph"/>
        <w:numPr>
          <w:ilvl w:val="0"/>
          <w:numId w:val="2"/>
        </w:numPr>
        <w:spacing w:after="90" w:line="320" w:lineRule="exact"/>
        <w:jc w:val="both"/>
        <w:rPr>
          <w:noProof/>
          <w:lang w:val="ro-RO"/>
        </w:rPr>
      </w:pPr>
      <w:r>
        <w:rPr>
          <w:b/>
          <w:bCs/>
          <w:noProof/>
          <w:lang w:val="ro-RO"/>
        </w:rPr>
        <w:t>cookie-uri de sesiune</w:t>
      </w:r>
      <w:r>
        <w:rPr>
          <w:noProof/>
          <w:lang w:val="ro-RO"/>
        </w:rPr>
        <w:t xml:space="preserve"> – care sunt șterse automat atunci când utilizatorul își închide browserul;</w:t>
      </w:r>
    </w:p>
    <w:p w14:paraId="0BA956FA" w14:textId="77777777">
      <w:pPr>
        <w:pStyle w:val="ListParagraph"/>
        <w:numPr>
          <w:ilvl w:val="0"/>
          <w:numId w:val="2"/>
        </w:numPr>
        <w:spacing w:after="90" w:line="320" w:lineRule="exact"/>
        <w:jc w:val="both"/>
        <w:rPr>
          <w:noProof/>
          <w:lang w:val="ro-RO"/>
        </w:rPr>
      </w:pPr>
      <w:r>
        <w:rPr>
          <w:b/>
          <w:bCs/>
          <w:noProof/>
          <w:lang w:val="ro-RO"/>
        </w:rPr>
        <w:t>cookie-uri persistente / fixe</w:t>
      </w:r>
      <w:r>
        <w:rPr>
          <w:noProof/>
          <w:lang w:val="ro-RO"/>
        </w:rPr>
        <w:t xml:space="preserve"> – care rămân stocate în terminalul utilizatorului până la o anumită dată de expirare sau până la ștergerea lor de către utilizator prin intermediul setărilor browserului.</w:t>
      </w:r>
    </w:p>
    <w:p w14:paraId="7A7A63CC" w14:textId="77777777">
      <w:pPr>
        <w:spacing w:after="140" w:line="320" w:lineRule="exact"/>
        <w:jc w:val="both"/>
        <w:rPr>
          <w:noProof/>
          <w:lang w:val="ro-RO"/>
        </w:rPr>
      </w:pPr>
      <w:r>
        <w:rPr>
          <w:noProof/>
          <w:lang w:val="ro-RO"/>
        </w:rPr>
        <w:t>Denumirea exactă, furnizorul, scopul și durata fiecărui cookie și/sau element de stocare utilizat sunt indicate în tabelul de la Secțiunea VI. Cookie-urile de autentificare au o durată de până la 30 de zile (reînnoite automat la utilizarea Platformei), în cazul token-ului de sesiune, respectiv sunt cookie-uri de sesiune (șterse la închiderea browserului) în cazul token-urilor de protecție CSRF și de reținere a paginii de revenire. Elementul de stocare a preferinței light/dark este persistent, fiind memorat până la ștergerea manuală de către utilizator.</w:t>
      </w:r>
    </w:p>
    <w:p w14:paraId="4453850A" w14:textId="77777777">
      <w:pPr>
        <w:pStyle w:val="Heading2"/>
        <w:spacing w:line="320" w:lineRule="exact"/>
        <w:rPr>
          <w:noProof/>
          <w:lang w:val="ro-RO"/>
        </w:rPr>
      </w:pPr>
      <w:r>
        <w:rPr>
          <w:noProof/>
          <w:lang w:val="ro-RO"/>
        </w:rPr>
        <w:t>III.3. Cookie-uri care nu sunt utilizate.</w:t>
      </w:r>
    </w:p>
    <w:p w14:paraId="5323BB41" w14:textId="77777777">
      <w:pPr>
        <w:spacing w:after="140" w:line="320" w:lineRule="exact"/>
        <w:jc w:val="both"/>
        <w:rPr>
          <w:noProof/>
          <w:lang w:val="ro-RO"/>
        </w:rPr>
      </w:pPr>
      <w:r>
        <w:rPr>
          <w:noProof/>
          <w:lang w:val="ro-RO"/>
        </w:rPr>
        <w:t xml:space="preserve">NEXO </w:t>
      </w:r>
      <w:r>
        <w:rPr>
          <w:b/>
          <w:bCs/>
          <w:noProof/>
          <w:lang w:val="ro-RO"/>
        </w:rPr>
        <w:t>nu utilizează în prezent</w:t>
      </w:r>
      <w:r>
        <w:rPr>
          <w:noProof/>
          <w:lang w:val="ro-RO"/>
        </w:rPr>
        <w:t xml:space="preserve"> Google Analytics, Meta Pixel sau alte instrumente similare pentru analiză comportamentală, profilare ori publicitate și </w:t>
      </w:r>
      <w:r>
        <w:rPr>
          <w:b/>
          <w:bCs/>
          <w:noProof/>
          <w:lang w:val="ro-RO"/>
        </w:rPr>
        <w:t>nu utilizează cookie-uri de marketing sau publicitate</w:t>
      </w:r>
      <w:r>
        <w:rPr>
          <w:noProof/>
          <w:lang w:val="ro-RO"/>
        </w:rPr>
        <w:t>.</w:t>
      </w:r>
    </w:p>
    <w:p w14:paraId="1CD398AA" w14:textId="77777777">
      <w:pPr>
        <w:spacing w:after="140" w:line="320" w:lineRule="exact"/>
        <w:jc w:val="both"/>
        <w:rPr>
          <w:noProof/>
          <w:lang w:val="ro-RO"/>
        </w:rPr>
      </w:pPr>
      <w:r>
        <w:rPr>
          <w:noProof/>
          <w:lang w:val="ro-RO"/>
        </w:rPr>
        <w:t>Platforma nu include conținut video încorporat de pe YouTube, Vimeo sau alte platforme externe și nu integrează servicii de rețele sociale care să plaseze cookie-uri prin intermediul NEXO. Fonturile (Geist) sunt incluse în aplicație la momentul build-ului și livrate direct de pe domeniul propriu, browserul utilizatorului neefectuând nicio cerere către Google Fonts (fonts.googleapis.com / fonts.gstatic.com). NEXO nu stochează în cookie-uri informații sensibile privind utilizatorul.</w:t>
      </w:r>
    </w:p>
    <w:p w14:paraId="7C946262" w14:textId="77777777">
      <w:pPr>
        <w:pStyle w:val="Heading2"/>
        <w:spacing w:line="320" w:lineRule="exact"/>
        <w:rPr>
          <w:noProof/>
          <w:lang w:val="ro-RO"/>
        </w:rPr>
      </w:pPr>
      <w:r>
        <w:rPr>
          <w:noProof/>
          <w:lang w:val="ro-RO"/>
        </w:rPr>
        <w:lastRenderedPageBreak/>
        <w:t>III.4. Furnizorii de servicii și cookie-urile terțe.</w:t>
      </w:r>
    </w:p>
    <w:p w14:paraId="638F4562" w14:textId="77777777">
      <w:pPr>
        <w:spacing w:after="140" w:line="320" w:lineRule="exact"/>
        <w:jc w:val="both"/>
        <w:rPr>
          <w:noProof/>
          <w:lang w:val="ro-RO"/>
        </w:rPr>
      </w:pPr>
      <w:r>
        <w:rPr>
          <w:noProof/>
          <w:lang w:val="ro-RO"/>
        </w:rPr>
        <w:t>Informațiile stocate în cookie-urile și în elementele de stocare utilizate în prezent sunt destinate exclusiv funcționării tehnice a Platformei „NEXO” (autentificare, menținerea sesiunii și afișarea interfeței conform preferinței utilizatorului) și sunt utilizate de NEXO.</w:t>
      </w:r>
    </w:p>
    <w:p w14:paraId="0A659D24" w14:textId="77777777">
      <w:pPr>
        <w:spacing w:after="140" w:line="320" w:lineRule="exact"/>
        <w:jc w:val="both"/>
        <w:rPr>
          <w:noProof/>
          <w:lang w:val="ro-RO"/>
        </w:rPr>
      </w:pPr>
      <w:r>
        <w:rPr>
          <w:noProof/>
          <w:lang w:val="ro-RO"/>
        </w:rPr>
        <w:t xml:space="preserve">Pentru funcționarea Platformei sunt utilizate servicii tehnice externe, precum </w:t>
      </w:r>
      <w:r>
        <w:rPr>
          <w:b/>
          <w:bCs/>
          <w:noProof/>
          <w:lang w:val="ro-RO"/>
        </w:rPr>
        <w:t>Vercel</w:t>
      </w:r>
      <w:r>
        <w:rPr>
          <w:noProof/>
          <w:lang w:val="ro-RO"/>
        </w:rPr>
        <w:t xml:space="preserve"> (găzduire), </w:t>
      </w:r>
      <w:r>
        <w:rPr>
          <w:b/>
          <w:bCs/>
          <w:noProof/>
          <w:lang w:val="ro-RO"/>
        </w:rPr>
        <w:t>Neon PostgreSQL</w:t>
      </w:r>
      <w:r>
        <w:rPr>
          <w:noProof/>
          <w:lang w:val="ro-RO"/>
        </w:rPr>
        <w:t xml:space="preserve"> (baza de date), </w:t>
      </w:r>
      <w:r>
        <w:rPr>
          <w:b/>
          <w:bCs/>
          <w:noProof/>
          <w:lang w:val="ro-RO"/>
        </w:rPr>
        <w:t>Resend</w:t>
      </w:r>
      <w:r>
        <w:rPr>
          <w:noProof/>
          <w:lang w:val="ro-RO"/>
        </w:rPr>
        <w:t xml:space="preserve"> (e-mailuri tranzacționale) și </w:t>
      </w:r>
      <w:r>
        <w:rPr>
          <w:b/>
          <w:bCs/>
          <w:noProof/>
          <w:lang w:val="ro-RO"/>
        </w:rPr>
        <w:t>Stripe</w:t>
      </w:r>
      <w:r>
        <w:rPr>
          <w:noProof/>
          <w:lang w:val="ro-RO"/>
        </w:rPr>
        <w:t xml:space="preserve"> (procesarea plăților). Eventualele tehnologii plasate în contextul paginilor ori serviciilor proprii ale acestor furnizori (de exemplu, în mediul securizat Stripe, în care se realizează plata) sunt guvernate de politicile de cookie-uri ale furnizorilor respectivi. Precizăm că plata se realizează prin redirecționare către pagina găzduită de Stripe (checkout.stripe.com); pe domeniul Platformei „NEXO” nu este încărcat niciun script Stripe și nu sunt plasate cookie-uri Stripe.</w:t>
      </w:r>
    </w:p>
    <w:p w14:paraId="774A2E10" w14:textId="77777777">
      <w:pPr>
        <w:pStyle w:val="Heading1"/>
        <w:spacing w:line="320" w:lineRule="exact"/>
        <w:rPr>
          <w:noProof/>
          <w:sz w:val="20"/>
          <w:szCs w:val="20"/>
          <w:lang w:val="ro-RO"/>
        </w:rPr>
      </w:pPr>
      <w:r>
        <w:rPr>
          <w:noProof/>
          <w:sz w:val="20"/>
          <w:szCs w:val="20"/>
          <w:lang w:val="ro-RO"/>
        </w:rPr>
        <w:t>IV. TEMEIUL JURIDIC ȘI CONSIMȚĂMÂNTUL.</w:t>
      </w:r>
    </w:p>
    <w:p w14:paraId="73D620A8" w14:textId="77777777">
      <w:pPr>
        <w:spacing w:after="140" w:line="320" w:lineRule="exact"/>
        <w:jc w:val="both"/>
        <w:rPr>
          <w:noProof/>
          <w:lang w:val="ro-RO"/>
        </w:rPr>
      </w:pPr>
      <w:r>
        <w:rPr>
          <w:noProof/>
          <w:lang w:val="ro-RO"/>
        </w:rPr>
        <w:t xml:space="preserve">Utilizarea cookie-urilor și a tehnologiilor similare este guvernată, în principal, de dispozițiile </w:t>
      </w:r>
      <w:r>
        <w:rPr>
          <w:i/>
          <w:iCs/>
          <w:noProof/>
          <w:lang w:val="ro-RO"/>
        </w:rPr>
        <w:t>art. 4 alin. (5) și (6) din Legea nr. 506/2004</w:t>
      </w:r>
      <w:r>
        <w:rPr>
          <w:noProof/>
          <w:lang w:val="ro-RO"/>
        </w:rPr>
        <w:t xml:space="preserve"> privind prelucrarea datelor cu caracter personal și protecția vieții private în sectorul comunicațiilor electronice, coroborate cu </w:t>
      </w:r>
      <w:r>
        <w:rPr>
          <w:i/>
          <w:iCs/>
          <w:noProof/>
          <w:lang w:val="ro-RO"/>
        </w:rPr>
        <w:t>Regulamentul (UE) 2016/679 (GDPR)</w:t>
      </w:r>
      <w:r>
        <w:rPr>
          <w:noProof/>
          <w:lang w:val="ro-RO"/>
        </w:rPr>
        <w:t>.</w:t>
      </w:r>
    </w:p>
    <w:p w14:paraId="78AFCF2E" w14:textId="77777777">
      <w:pPr>
        <w:spacing w:after="140" w:line="320" w:lineRule="exact"/>
        <w:jc w:val="both"/>
        <w:rPr>
          <w:noProof/>
          <w:lang w:val="ro-RO"/>
        </w:rPr>
      </w:pPr>
      <w:r>
        <w:rPr>
          <w:noProof/>
          <w:lang w:val="ro-RO"/>
        </w:rPr>
        <w:t xml:space="preserve">Potrivit </w:t>
      </w:r>
      <w:r>
        <w:rPr>
          <w:i/>
          <w:iCs/>
          <w:noProof/>
          <w:lang w:val="ro-RO"/>
        </w:rPr>
        <w:t>art. 4 alin. (6) din Legea nr. 506/2004</w:t>
      </w:r>
      <w:r>
        <w:rPr>
          <w:noProof/>
          <w:lang w:val="ro-RO"/>
        </w:rPr>
        <w:t xml:space="preserve">, nu este necesar consimțământul utilizatorului pentru cookie-urile și tehnologiile </w:t>
      </w:r>
      <w:r>
        <w:rPr>
          <w:b/>
          <w:bCs/>
          <w:noProof/>
          <w:lang w:val="ro-RO"/>
        </w:rPr>
        <w:t>strict necesare</w:t>
      </w:r>
      <w:r>
        <w:rPr>
          <w:noProof/>
          <w:lang w:val="ro-RO"/>
        </w:rPr>
        <w:t xml:space="preserve"> furnizării serviciului solicitat expres de utilizator ori efectuării sau facilitării transmiterii unei comunicări. Întrucât, în configurația actuală, Platforma utilizează numai astfel de tehnologii strict necesare, </w:t>
      </w:r>
      <w:r>
        <w:rPr>
          <w:b/>
          <w:bCs/>
          <w:noProof/>
          <w:lang w:val="ro-RO"/>
        </w:rPr>
        <w:t>NEXO nu afișează la lansare un banner de tip „Acceptă/Refuză” pentru cookie-uri</w:t>
      </w:r>
      <w:r>
        <w:rPr>
          <w:noProof/>
          <w:lang w:val="ro-RO"/>
        </w:rPr>
        <w:t>, ci pune la dispoziția utilizatorilor prezenta informare.</w:t>
      </w:r>
    </w:p>
    <w:p w14:paraId="0BAC052F" w14:textId="77777777">
      <w:pPr>
        <w:spacing w:after="140" w:line="320" w:lineRule="exact"/>
        <w:jc w:val="both"/>
        <w:rPr>
          <w:noProof/>
          <w:lang w:val="ro-RO"/>
        </w:rPr>
      </w:pPr>
      <w:r>
        <w:rPr>
          <w:noProof/>
          <w:lang w:val="ro-RO"/>
        </w:rPr>
        <w:t xml:space="preserve">În măsura în care vor fi introduse ulterior cookie-uri sau tehnologii </w:t>
      </w:r>
      <w:r>
        <w:rPr>
          <w:b/>
          <w:bCs/>
          <w:noProof/>
          <w:lang w:val="ro-RO"/>
        </w:rPr>
        <w:t>neesențiale</w:t>
      </w:r>
      <w:r>
        <w:rPr>
          <w:noProof/>
          <w:lang w:val="ro-RO"/>
        </w:rPr>
        <w:t xml:space="preserve"> (de analiză, marketing, publicitate ori conținut încorporat de la terți), acestea nu vor fi activate înainte de implementarea mecanismului de informare și de obținere a consimțământului prealabil, potrivit </w:t>
      </w:r>
      <w:r>
        <w:rPr>
          <w:i/>
          <w:iCs/>
          <w:noProof/>
          <w:lang w:val="ro-RO"/>
        </w:rPr>
        <w:t>art. 4 alin. (5) din Legea nr. 506/2004</w:t>
      </w:r>
      <w:r>
        <w:rPr>
          <w:noProof/>
          <w:lang w:val="ro-RO"/>
        </w:rPr>
        <w:t xml:space="preserve"> și GDPR, iar prezenta Politică va fi actualizată în mod corespunzător.</w:t>
      </w:r>
    </w:p>
    <w:p w14:paraId="614F9E16" w14:textId="77777777">
      <w:pPr>
        <w:pStyle w:val="Heading1"/>
        <w:spacing w:line="320" w:lineRule="exact"/>
        <w:rPr>
          <w:noProof/>
          <w:sz w:val="20"/>
          <w:szCs w:val="20"/>
          <w:lang w:val="ro-RO"/>
        </w:rPr>
      </w:pPr>
      <w:r>
        <w:rPr>
          <w:noProof/>
          <w:sz w:val="20"/>
          <w:szCs w:val="20"/>
          <w:lang w:val="ro-RO"/>
        </w:rPr>
        <w:t>V. GESTIONAREA ȘI ȘTERGEREA COOKIE-URILOR.</w:t>
      </w:r>
    </w:p>
    <w:p w14:paraId="46708CCE" w14:textId="77777777">
      <w:pPr>
        <w:spacing w:after="140" w:line="320" w:lineRule="exact"/>
        <w:jc w:val="both"/>
        <w:rPr>
          <w:noProof/>
          <w:lang w:val="ro-RO"/>
        </w:rPr>
      </w:pPr>
      <w:r>
        <w:rPr>
          <w:noProof/>
          <w:lang w:val="ro-RO"/>
        </w:rPr>
        <w:t>Utilizatorii pot gestiona, restricționa, bloca sau șterge cookie-urile oricând, prin modificarea setărilor browserului utilizat. Majoritatea browserelor permit vizualizarea, gestionarea și ștergerea cookie-urilor stocate, precum și blocarea cookie-urilor de la anumite site-uri sau de la toate site-urile.</w:t>
      </w:r>
    </w:p>
    <w:p w14:paraId="66D69A5E" w14:textId="77777777">
      <w:pPr>
        <w:spacing w:after="140" w:line="320" w:lineRule="exact"/>
        <w:jc w:val="both"/>
        <w:rPr>
          <w:noProof/>
          <w:lang w:val="ro-RO"/>
        </w:rPr>
      </w:pPr>
      <w:r>
        <w:rPr>
          <w:noProof/>
          <w:lang w:val="ro-RO"/>
        </w:rPr>
        <w:t xml:space="preserve">Dezactivarea cookie-urilor </w:t>
      </w:r>
      <w:r>
        <w:rPr>
          <w:b/>
          <w:bCs/>
          <w:noProof/>
          <w:lang w:val="ro-RO"/>
        </w:rPr>
        <w:t>strict necesare</w:t>
      </w:r>
      <w:r>
        <w:rPr>
          <w:noProof/>
          <w:lang w:val="ro-RO"/>
        </w:rPr>
        <w:t xml:space="preserve"> poate împiedica autentificarea sau funcționarea corectă a anumitor funcții ale Platformei „NEXO”.</w:t>
      </w:r>
    </w:p>
    <w:p w14:paraId="51ECF8B1" w14:textId="246402F6">
      <w:pPr>
        <w:spacing w:after="140" w:line="320" w:lineRule="exact"/>
        <w:jc w:val="both"/>
        <w:rPr>
          <w:noProof/>
          <w:lang w:val="ro-RO"/>
        </w:rPr>
      </w:pPr>
      <w:r>
        <w:rPr>
          <w:noProof/>
          <w:lang w:val="ro-RO"/>
        </w:rPr>
        <w:t xml:space="preserve">Pașii concreți pentru gestionarea cookie-urilor diferă în funcție de browser și pot fi consultați în secțiunile de asistență ale acestora. </w:t>
      </w:r>
    </w:p>
    <w:p w14:paraId="0B0D7166" w14:textId="77777777">
      <w:pPr>
        <w:pStyle w:val="Heading1"/>
        <w:spacing w:line="320" w:lineRule="exact"/>
        <w:rPr>
          <w:noProof/>
          <w:sz w:val="20"/>
          <w:szCs w:val="20"/>
          <w:lang w:val="ro-RO"/>
        </w:rPr>
      </w:pPr>
      <w:r>
        <w:rPr>
          <w:noProof/>
          <w:sz w:val="20"/>
          <w:szCs w:val="20"/>
          <w:lang w:val="ro-RO"/>
        </w:rPr>
        <w:t>VI. EVIDENȚA COOKIE-URILOR UTILIZATE.</w:t>
      </w:r>
    </w:p>
    <w:p w14:paraId="1DC41A64" w14:textId="77777777">
      <w:pPr>
        <w:spacing w:after="140" w:line="320" w:lineRule="exact"/>
        <w:jc w:val="both"/>
        <w:rPr>
          <w:noProof/>
          <w:lang w:val="ro-RO"/>
        </w:rPr>
      </w:pPr>
      <w:r>
        <w:rPr>
          <w:noProof/>
          <w:lang w:val="ro-RO"/>
        </w:rPr>
        <w:t>În tabelul de mai jos sunt indicate cookie-urile și elementele de stocare utilizate în prezent pe Platforma „NEXO”, împreună cu furnizorul, scopul, durata și categoria acestora.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0"/>
        <w:gridCol w:w="1650"/>
        <w:gridCol w:w="2560"/>
        <w:gridCol w:w="1600"/>
        <w:gridCol w:w="1500"/>
      </w:tblGrid>
      <w:tr w14:paraId="5C9B5947" w14:textId="77777777">
        <w:trPr>
          <w:tblHeader/>
        </w:trPr>
        <w:tc>
          <w:tcPr>
            <w:tcW w:w="2050" w:type="dxa"/>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7353AFC" w14:textId="77777777">
            <w:pPr>
              <w:spacing w:line="320" w:lineRule="exact"/>
              <w:rPr>
                <w:noProof/>
                <w:lang w:val="ro-RO"/>
              </w:rPr>
            </w:pPr>
            <w:r>
              <w:rPr>
                <w:b/>
                <w:bCs/>
                <w:noProof/>
                <w:lang w:val="ro-RO"/>
              </w:rPr>
              <w:lastRenderedPageBreak/>
              <w:t>Denumire</w:t>
            </w:r>
          </w:p>
        </w:tc>
        <w:tc>
          <w:tcPr>
            <w:tcW w:w="1650" w:type="dxa"/>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024820E" w14:textId="77777777">
            <w:pPr>
              <w:spacing w:line="320" w:lineRule="exact"/>
              <w:rPr>
                <w:noProof/>
                <w:lang w:val="ro-RO"/>
              </w:rPr>
            </w:pPr>
            <w:r>
              <w:rPr>
                <w:b/>
                <w:bCs/>
                <w:noProof/>
                <w:lang w:val="ro-RO"/>
              </w:rPr>
              <w:t>Furnizor</w:t>
            </w:r>
          </w:p>
        </w:tc>
        <w:tc>
          <w:tcPr>
            <w:tcW w:w="2560" w:type="dxa"/>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39E28E1" w14:textId="77777777">
            <w:pPr>
              <w:spacing w:line="320" w:lineRule="exact"/>
              <w:rPr>
                <w:noProof/>
                <w:lang w:val="ro-RO"/>
              </w:rPr>
            </w:pPr>
            <w:r>
              <w:rPr>
                <w:b/>
                <w:bCs/>
                <w:noProof/>
                <w:lang w:val="ro-RO"/>
              </w:rPr>
              <w:t>Scop</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559318C1" w14:textId="77777777">
            <w:pPr>
              <w:spacing w:line="320" w:lineRule="exact"/>
              <w:rPr>
                <w:noProof/>
                <w:lang w:val="ro-RO"/>
              </w:rPr>
            </w:pPr>
            <w:r>
              <w:rPr>
                <w:b/>
                <w:bCs/>
                <w:noProof/>
                <w:lang w:val="ro-RO"/>
              </w:rPr>
              <w:t>Durată</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72975DD" w14:textId="77777777">
            <w:pPr>
              <w:spacing w:line="320" w:lineRule="exact"/>
              <w:rPr>
                <w:noProof/>
                <w:lang w:val="ro-RO"/>
              </w:rPr>
            </w:pPr>
            <w:r>
              <w:rPr>
                <w:b/>
                <w:bCs/>
                <w:noProof/>
                <w:lang w:val="ro-RO"/>
              </w:rPr>
              <w:t>Categorie</w:t>
            </w:r>
          </w:p>
        </w:tc>
      </w:tr>
      <w:tr w14:paraId="219E9A8B" w14:textId="77777777">
        <w:tc>
          <w:tcPr>
            <w:tcW w:w="20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BCE942" w14:textId="77777777">
            <w:pPr>
              <w:spacing w:line="320" w:lineRule="exact"/>
              <w:rPr>
                <w:noProof/>
                <w:lang w:val="ro-RO"/>
              </w:rPr>
            </w:pPr>
            <w:r>
              <w:rPr>
                <w:noProof/>
                <w:lang w:val="ro-RO"/>
              </w:rPr>
              <w:t>__Secure-authjs.session-token; __Host-authjs.csrf-token; __Secure-authjs.callback-url</w:t>
            </w:r>
          </w:p>
        </w:tc>
        <w:tc>
          <w:tcPr>
            <w:tcW w:w="16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4D7B78" w14:textId="77777777">
            <w:pPr>
              <w:spacing w:line="320" w:lineRule="exact"/>
              <w:rPr>
                <w:noProof/>
                <w:lang w:val="ro-RO"/>
              </w:rPr>
            </w:pPr>
            <w:r>
              <w:rPr>
                <w:noProof/>
                <w:lang w:val="ro-RO"/>
              </w:rPr>
              <w:t>NEXO / Auth.js</w:t>
            </w:r>
          </w:p>
        </w:tc>
        <w:tc>
          <w:tcPr>
            <w:tcW w:w="2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86730C" w14:textId="77777777">
            <w:pPr>
              <w:spacing w:line="320" w:lineRule="exact"/>
              <w:rPr>
                <w:noProof/>
                <w:lang w:val="ro-RO"/>
              </w:rPr>
            </w:pPr>
            <w:r>
              <w:rPr>
                <w:noProof/>
                <w:lang w:val="ro-RO"/>
              </w:rPr>
              <w:t>Autentificare și menținerea sesiunii utilizatorului conectat; protecție împotriva atacurilor CSRF în procesul de autentificare; reținerea paginii la care utilizatorul revine după autentificare. Cookie-uri first-party, de tip HttpOnly și Secure.</w:t>
            </w:r>
          </w:p>
        </w:tc>
        <w:tc>
          <w:tcPr>
            <w:tcW w:w="16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F885FF" w14:textId="77777777">
            <w:pPr>
              <w:spacing w:line="320" w:lineRule="exact"/>
              <w:rPr>
                <w:noProof/>
                <w:lang w:val="ro-RO"/>
              </w:rPr>
            </w:pPr>
            <w:r>
              <w:rPr>
                <w:noProof/>
                <w:lang w:val="ro-RO"/>
              </w:rPr>
              <w:t>Token de sesiune: 30 de zile, reînnoit automat; token CSRF și pagina de revenire: cookie-uri de sesiune (se șterg la închiderea browserului)</w:t>
            </w:r>
          </w:p>
        </w:tc>
        <w:tc>
          <w:tcPr>
            <w:tcW w:w="15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39848C" w14:textId="77777777">
            <w:pPr>
              <w:spacing w:line="320" w:lineRule="exact"/>
              <w:rPr>
                <w:noProof/>
                <w:lang w:val="ro-RO"/>
              </w:rPr>
            </w:pPr>
            <w:r>
              <w:rPr>
                <w:noProof/>
                <w:lang w:val="ro-RO"/>
              </w:rPr>
              <w:t>Strict necesar</w:t>
            </w:r>
          </w:p>
        </w:tc>
      </w:tr>
      <w:tr w14:paraId="36799274" w14:textId="77777777">
        <w:tc>
          <w:tcPr>
            <w:tcW w:w="20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9B9C5D" w14:textId="77777777">
            <w:pPr>
              <w:spacing w:line="320" w:lineRule="exact"/>
              <w:rPr>
                <w:noProof/>
                <w:lang w:val="ro-RO"/>
              </w:rPr>
            </w:pPr>
            <w:r>
              <w:rPr>
                <w:noProof/>
                <w:lang w:val="ro-RO"/>
              </w:rPr>
              <w:t>nexo-theme</w:t>
            </w:r>
          </w:p>
        </w:tc>
        <w:tc>
          <w:tcPr>
            <w:tcW w:w="16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CA7BC4" w14:textId="77777777">
            <w:pPr>
              <w:spacing w:line="320" w:lineRule="exact"/>
              <w:rPr>
                <w:noProof/>
                <w:lang w:val="ro-RO"/>
              </w:rPr>
            </w:pPr>
            <w:r>
              <w:rPr>
                <w:noProof/>
                <w:lang w:val="ro-RO"/>
              </w:rPr>
              <w:t>NEXO / browser (Local Storage)</w:t>
            </w:r>
          </w:p>
        </w:tc>
        <w:tc>
          <w:tcPr>
            <w:tcW w:w="2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FB0231" w14:textId="77777777">
            <w:pPr>
              <w:spacing w:line="320" w:lineRule="exact"/>
              <w:rPr>
                <w:noProof/>
                <w:lang w:val="ro-RO"/>
              </w:rPr>
            </w:pPr>
            <w:r>
              <w:rPr>
                <w:noProof/>
                <w:lang w:val="ro-RO"/>
              </w:rPr>
              <w:t>Memorarea preferinței de afișare a interfeței: luminos, întunecat sau conform setărilor sistemului (light/dark/system)</w:t>
            </w:r>
          </w:p>
        </w:tc>
        <w:tc>
          <w:tcPr>
            <w:tcW w:w="16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8FF289" w14:textId="77777777">
            <w:pPr>
              <w:spacing w:line="320" w:lineRule="exact"/>
              <w:rPr>
                <w:noProof/>
                <w:lang w:val="ro-RO"/>
              </w:rPr>
            </w:pPr>
            <w:r>
              <w:rPr>
                <w:noProof/>
                <w:lang w:val="ro-RO"/>
              </w:rPr>
              <w:t>Persistent, până la ștergerea manuală de către utilizator</w:t>
            </w:r>
          </w:p>
        </w:tc>
        <w:tc>
          <w:tcPr>
            <w:tcW w:w="15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58386D" w14:textId="77777777">
            <w:pPr>
              <w:spacing w:line="320" w:lineRule="exact"/>
              <w:rPr>
                <w:noProof/>
                <w:lang w:val="ro-RO"/>
              </w:rPr>
            </w:pPr>
            <w:r>
              <w:rPr>
                <w:noProof/>
                <w:lang w:val="ro-RO"/>
              </w:rPr>
              <w:t>Strict necesar / funcțional</w:t>
            </w:r>
          </w:p>
        </w:tc>
      </w:tr>
      <w:tr w14:paraId="05D698F8" w14:textId="77777777">
        <w:tc>
          <w:tcPr>
            <w:tcW w:w="20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F43259" w14:textId="77777777">
            <w:pPr>
              <w:spacing w:line="320" w:lineRule="exact"/>
              <w:rPr>
                <w:noProof/>
                <w:lang w:val="ro-RO"/>
              </w:rPr>
            </w:pPr>
            <w:r>
              <w:rPr>
                <w:noProof/>
                <w:lang w:val="ro-RO"/>
              </w:rPr>
              <w:t>nexo-usage:*</w:t>
            </w:r>
          </w:p>
        </w:tc>
        <w:tc>
          <w:tcPr>
            <w:tcW w:w="16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3C61BD" w14:textId="77777777">
            <w:pPr>
              <w:spacing w:line="320" w:lineRule="exact"/>
              <w:rPr>
                <w:noProof/>
                <w:lang w:val="ro-RO"/>
              </w:rPr>
            </w:pPr>
            <w:r>
              <w:rPr>
                <w:noProof/>
                <w:lang w:val="ro-RO"/>
              </w:rPr>
              <w:t>NEXO / browser (Session Storage)</w:t>
            </w:r>
          </w:p>
        </w:tc>
        <w:tc>
          <w:tcPr>
            <w:tcW w:w="2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E7E6E99" w14:textId="77777777">
            <w:pPr>
              <w:spacing w:line="320" w:lineRule="exact"/>
              <w:rPr>
                <w:noProof/>
                <w:lang w:val="ro-RO"/>
              </w:rPr>
            </w:pPr>
            <w:r>
              <w:rPr>
                <w:noProof/>
                <w:lang w:val="ro-RO"/>
              </w:rPr>
              <w:t>Evitarea înregistrării duplicate a vizualizărilor în statisticile interne ale Platformei. Element funcțional, first-party; cheile au forma nexo-usage:tip:identificator și conțin doar valoarea „1”, fără date personale</w:t>
            </w:r>
          </w:p>
        </w:tc>
        <w:tc>
          <w:tcPr>
            <w:tcW w:w="16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659C60" w14:textId="77777777">
            <w:pPr>
              <w:spacing w:line="320" w:lineRule="exact"/>
              <w:rPr>
                <w:noProof/>
                <w:lang w:val="ro-RO"/>
              </w:rPr>
            </w:pPr>
            <w:r>
              <w:rPr>
                <w:noProof/>
                <w:lang w:val="ro-RO"/>
              </w:rPr>
              <w:t>Per filă de browser – se șterge la închiderea filei</w:t>
            </w:r>
          </w:p>
        </w:tc>
        <w:tc>
          <w:tcPr>
            <w:tcW w:w="15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C2D02F1" w14:textId="77777777">
            <w:pPr>
              <w:spacing w:line="320" w:lineRule="exact"/>
              <w:rPr>
                <w:noProof/>
                <w:lang w:val="ro-RO"/>
              </w:rPr>
            </w:pPr>
            <w:r>
              <w:rPr>
                <w:noProof/>
                <w:lang w:val="ro-RO"/>
              </w:rPr>
              <w:t>Strict necesar / funcțional</w:t>
            </w:r>
          </w:p>
        </w:tc>
      </w:tr>
    </w:tbl>
    <w:p w14:paraId="14B7052A" w14:textId="77777777">
      <w:pPr>
        <w:spacing w:after="140" w:line="320" w:lineRule="exact"/>
        <w:jc w:val="both"/>
        <w:rPr>
          <w:noProof/>
          <w:lang w:val="ro-RO"/>
        </w:rPr>
      </w:pPr>
      <w:r>
        <w:rPr>
          <w:noProof/>
          <w:lang w:val="ro-RO"/>
        </w:rPr>
        <w:t xml:space="preserve">Datele din tabelul de mai sus corespund configurației verificate direct în codul Platformei. În ceea ce privește elementul </w:t>
      </w:r>
      <w:r>
        <w:rPr>
          <w:i/>
          <w:iCs/>
          <w:noProof/>
          <w:lang w:val="ro-RO"/>
        </w:rPr>
        <w:t>nexo-usage:*</w:t>
      </w:r>
      <w:r>
        <w:rPr>
          <w:noProof/>
          <w:lang w:val="ro-RO"/>
        </w:rPr>
        <w:t xml:space="preserve">, acesta este utilizat exclusiv pentru evitarea înregistrării duplicate a vizualizărilor în statisticile interne ale Platformei. Fiind un element first-party, temporar (per filă de browser), care nu conține date personale, nu implică terți și nu servește profilării, publicității ori urmăririi utilizatorului pe alte site-uri, acesta se încadrează, în opinia noastră, în categoria tehnologiilor strict necesare/funcționale, în sensul </w:t>
      </w:r>
      <w:r>
        <w:rPr>
          <w:i/>
          <w:iCs/>
          <w:noProof/>
          <w:lang w:val="ro-RO"/>
        </w:rPr>
        <w:t>art. 4 alin. (6) din Legea nr. 506/2004</w:t>
      </w:r>
      <w:r>
        <w:rPr>
          <w:noProof/>
          <w:lang w:val="ro-RO"/>
        </w:rPr>
        <w:t>, motiv pentru care utilizarea sa nu impune obținerea consimțământului prealabil al utilizatorului și nu modifică concluzia potrivit căreia, în configurația actuală, Platforma nu necesită un banner de tip „Acceptă/Refuză” pentru cookie-uri.</w:t>
      </w:r>
    </w:p>
    <w:p w14:paraId="4C4DD008" w14:textId="77777777">
      <w:pPr>
        <w:pStyle w:val="Heading1"/>
        <w:spacing w:line="320" w:lineRule="exact"/>
        <w:rPr>
          <w:noProof/>
          <w:sz w:val="20"/>
          <w:szCs w:val="20"/>
          <w:lang w:val="ro-RO"/>
        </w:rPr>
      </w:pPr>
      <w:r>
        <w:rPr>
          <w:noProof/>
          <w:sz w:val="20"/>
          <w:szCs w:val="20"/>
          <w:lang w:val="ro-RO"/>
        </w:rPr>
        <w:t>VII. MODIFICAREA POLITICII.</w:t>
      </w:r>
    </w:p>
    <w:p w14:paraId="33226B16" w14:textId="469AA448">
      <w:pPr>
        <w:spacing w:after="140" w:line="320" w:lineRule="exact"/>
        <w:jc w:val="both"/>
        <w:rPr>
          <w:noProof/>
          <w:lang w:val="ro-RO"/>
        </w:rPr>
      </w:pPr>
      <w:r>
        <w:rPr>
          <w:noProof/>
          <w:lang w:val="ro-RO"/>
        </w:rPr>
        <w:t xml:space="preserve">Prezenta Politică poate fi actualizată atunci când se modifică tehnologiile utilizate, furnizorii de servicii sau cerințele legale, precum și în cazul introducerii unor noi cookie-uri ori tehnologii (de exemplu, de analiză, marketing, publicitate ori conținut încorporat de la terți). Versiunea publicată </w:t>
      </w:r>
      <w:r>
        <w:rPr>
          <w:noProof/>
          <w:lang w:val="ro-RO"/>
        </w:rPr>
        <w:lastRenderedPageBreak/>
        <w:t>va indica data ultimei actualizări, iar modificările vor fi aduse la cunoștința utilizatorilor prin publicarea pe Platformă.</w:t>
      </w:r>
    </w:p>
    <w:sectPr>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7A0D7" w14:textId="77777777">
      <w:r>
        <w:separator/>
      </w:r>
    </w:p>
  </w:endnote>
  <w:endnote w:type="continuationSeparator" w:id="0">
    <w:p w14:paraId="246F7B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5DD95" w14:textId="77777777">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461AE" w14:textId="77777777">
      <w:r>
        <w:separator/>
      </w:r>
    </w:p>
  </w:footnote>
  <w:footnote w:type="continuationSeparator" w:id="0">
    <w:p w14:paraId="45ABEF8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3B20"/>
    <w:multiLevelType w:val="hybridMultilevel"/>
    <w:tmpl w:val="DBB42062"/>
    <w:lvl w:ilvl="0" w:tplc="97040110">
      <w:start w:val="1"/>
      <w:numFmt w:val="bullet"/>
      <w:lvlText w:val="–"/>
      <w:lvlJc w:val="left"/>
      <w:pPr>
        <w:ind w:left="431" w:hanging="259"/>
      </w:pPr>
      <w:rPr>
        <w:rFonts w:ascii="Trebuchet MS" w:eastAsia="Trebuchet MS" w:hAnsi="Trebuchet MS" w:cs="Trebuchet MS"/>
        <w:sz w:val="20"/>
        <w:szCs w:val="20"/>
      </w:rPr>
    </w:lvl>
    <w:lvl w:ilvl="1" w:tplc="14A08122">
      <w:numFmt w:val="decimal"/>
      <w:lvlText w:val=""/>
      <w:lvlJc w:val="left"/>
    </w:lvl>
    <w:lvl w:ilvl="2" w:tplc="9C00147C">
      <w:numFmt w:val="decimal"/>
      <w:lvlText w:val=""/>
      <w:lvlJc w:val="left"/>
    </w:lvl>
    <w:lvl w:ilvl="3" w:tplc="17185906">
      <w:numFmt w:val="decimal"/>
      <w:lvlText w:val=""/>
      <w:lvlJc w:val="left"/>
    </w:lvl>
    <w:lvl w:ilvl="4" w:tplc="94DA0332">
      <w:numFmt w:val="decimal"/>
      <w:lvlText w:val=""/>
      <w:lvlJc w:val="left"/>
    </w:lvl>
    <w:lvl w:ilvl="5" w:tplc="CEA07382">
      <w:numFmt w:val="decimal"/>
      <w:lvlText w:val=""/>
      <w:lvlJc w:val="left"/>
    </w:lvl>
    <w:lvl w:ilvl="6" w:tplc="B00EB698">
      <w:numFmt w:val="decimal"/>
      <w:lvlText w:val=""/>
      <w:lvlJc w:val="left"/>
    </w:lvl>
    <w:lvl w:ilvl="7" w:tplc="56F09DDC">
      <w:numFmt w:val="decimal"/>
      <w:lvlText w:val=""/>
      <w:lvlJc w:val="left"/>
    </w:lvl>
    <w:lvl w:ilvl="8" w:tplc="AC64F002">
      <w:numFmt w:val="decimal"/>
      <w:lvlText w:val=""/>
      <w:lvlJc w:val="left"/>
    </w:lvl>
  </w:abstractNum>
  <w:abstractNum w:abstractNumId="1" w15:restartNumberingAfterBreak="0">
    <w:nsid w:val="147165A7"/>
    <w:multiLevelType w:val="hybridMultilevel"/>
    <w:tmpl w:val="27706FCC"/>
    <w:lvl w:ilvl="0" w:tplc="82D8FF78">
      <w:start w:val="1"/>
      <w:numFmt w:val="bullet"/>
      <w:lvlText w:val="●"/>
      <w:lvlJc w:val="left"/>
      <w:pPr>
        <w:ind w:left="720" w:hanging="360"/>
      </w:pPr>
    </w:lvl>
    <w:lvl w:ilvl="1" w:tplc="5F8AC5F4">
      <w:start w:val="1"/>
      <w:numFmt w:val="bullet"/>
      <w:lvlText w:val="○"/>
      <w:lvlJc w:val="left"/>
      <w:pPr>
        <w:ind w:left="1440" w:hanging="360"/>
      </w:pPr>
    </w:lvl>
    <w:lvl w:ilvl="2" w:tplc="C860BCA0">
      <w:start w:val="1"/>
      <w:numFmt w:val="bullet"/>
      <w:lvlText w:val="■"/>
      <w:lvlJc w:val="left"/>
      <w:pPr>
        <w:ind w:left="2160" w:hanging="360"/>
      </w:pPr>
    </w:lvl>
    <w:lvl w:ilvl="3" w:tplc="DE8E892E">
      <w:start w:val="1"/>
      <w:numFmt w:val="bullet"/>
      <w:lvlText w:val="●"/>
      <w:lvlJc w:val="left"/>
      <w:pPr>
        <w:ind w:left="2880" w:hanging="360"/>
      </w:pPr>
    </w:lvl>
    <w:lvl w:ilvl="4" w:tplc="1F4E6540">
      <w:start w:val="1"/>
      <w:numFmt w:val="bullet"/>
      <w:lvlText w:val="○"/>
      <w:lvlJc w:val="left"/>
      <w:pPr>
        <w:ind w:left="3600" w:hanging="360"/>
      </w:pPr>
    </w:lvl>
    <w:lvl w:ilvl="5" w:tplc="ACA26A3A">
      <w:start w:val="1"/>
      <w:numFmt w:val="bullet"/>
      <w:lvlText w:val="■"/>
      <w:lvlJc w:val="left"/>
      <w:pPr>
        <w:ind w:left="4320" w:hanging="360"/>
      </w:pPr>
    </w:lvl>
    <w:lvl w:ilvl="6" w:tplc="90F0E7B2">
      <w:start w:val="1"/>
      <w:numFmt w:val="bullet"/>
      <w:lvlText w:val="●"/>
      <w:lvlJc w:val="left"/>
      <w:pPr>
        <w:ind w:left="5040" w:hanging="360"/>
      </w:pPr>
    </w:lvl>
    <w:lvl w:ilvl="7" w:tplc="5FC0C3B6">
      <w:start w:val="1"/>
      <w:numFmt w:val="bullet"/>
      <w:lvlText w:val="●"/>
      <w:lvlJc w:val="left"/>
      <w:pPr>
        <w:ind w:left="5760" w:hanging="360"/>
      </w:pPr>
    </w:lvl>
    <w:lvl w:ilvl="8" w:tplc="959E7376">
      <w:start w:val="1"/>
      <w:numFmt w:val="bullet"/>
      <w:lvlText w:val="●"/>
      <w:lvlJc w:val="left"/>
      <w:pPr>
        <w:ind w:left="6480" w:hanging="360"/>
      </w:pPr>
    </w:lvl>
  </w:abstractNum>
  <w:num w:numId="1" w16cid:durableId="224991144">
    <w:abstractNumId w:val="1"/>
    <w:lvlOverride w:ilvl="0">
      <w:startOverride w:val="1"/>
    </w:lvlOverride>
  </w:num>
  <w:num w:numId="2" w16cid:durableId="13735055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950"/>
    <w:rsid w:val="00166ACD"/>
    <w:rsid w:val="00286D2E"/>
    <w:rsid w:val="002C1950"/>
    <w:rsid w:val="00405462"/>
    <w:rsid w:val="00557D4F"/>
    <w:rsid w:val="00890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4F12"/>
  <w15:docId w15:val="{4E5DDCAA-4956-4D9D-8089-5E248CB0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Trebuchet MS" w:hAnsi="Trebuchet MS" w:cs="Trebuchet M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40"/>
      <w:outlineLvl w:val="0"/>
    </w:pPr>
    <w:rPr>
      <w:b/>
      <w:bCs/>
      <w:color w:val="000000"/>
      <w:sz w:val="22"/>
      <w:szCs w:val="22"/>
    </w:rPr>
  </w:style>
  <w:style w:type="paragraph" w:styleId="Heading2">
    <w:name w:val="heading 2"/>
    <w:uiPriority w:val="9"/>
    <w:unhideWhenUsed/>
    <w:qFormat/>
    <w:pPr>
      <w:spacing w:before="200" w:after="120"/>
      <w:outlineLvl w:val="1"/>
    </w:pPr>
    <w:rPr>
      <w:b/>
      <w:bCs/>
      <w:color w:val="00000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C5D71-6AC5-4F6C-87FE-F9A8B86ED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1617</Words>
  <Characters>9221</Characters>
  <Application>Microsoft Office Word</Application>
  <DocSecurity>0</DocSecurity>
  <Lines>76</Lines>
  <Paragraphs>21</Paragraphs>
  <ScaleCrop>false</ScaleCrop>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9</cp:revision>
  <dcterms:created xsi:type="dcterms:W3CDTF">2026-08-31T07:51:00Z</dcterms:created>
  <dcterms:modified xsi:type="dcterms:W3CDTF">2026-08-31T08:38:00Z</dcterms:modified>
</cp:coreProperties>
</file>